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</w:t>
      </w:r>
      <w:proofErr w:type="gramEnd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педагогическом совете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директор ГКОУ РД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Джурмутская</w:t>
      </w:r>
      <w:proofErr w:type="spellEnd"/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spellStart"/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Джурмутская</w:t>
      </w:r>
      <w:proofErr w:type="spellEnd"/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70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5_от </w:t>
      </w:r>
      <w:r w:rsidR="00705503" w:rsidRPr="0070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70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0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C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Омаров 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 № ____  от «____» ______</w:t>
      </w:r>
      <w:proofErr w:type="gram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07F1" w:rsidRPr="005E07F1" w:rsidRDefault="005E07F1" w:rsidP="00E060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566638" w:rsidRPr="00E06010" w:rsidRDefault="00E06010" w:rsidP="00E06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566638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66638" w:rsidRPr="00E06010" w:rsidRDefault="00566638" w:rsidP="00E0601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аттестации</w:t>
      </w:r>
      <w:proofErr w:type="gramEnd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ГКОУ РД « </w:t>
      </w:r>
      <w:proofErr w:type="spellStart"/>
      <w:r w:rsidR="006C5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Джурмутская</w:t>
      </w:r>
      <w:proofErr w:type="spellEnd"/>
      <w:r w:rsidR="006C5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СОШ </w:t>
      </w:r>
      <w:proofErr w:type="spellStart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Тляатинского</w:t>
      </w:r>
      <w:proofErr w:type="spellEnd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в условиях дистанционного обучения при нестабильной эпидемиологической ситуации.</w:t>
      </w:r>
    </w:p>
    <w:p w:rsidR="00566638" w:rsidRPr="00E06010" w:rsidRDefault="00566638" w:rsidP="00E06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</w:t>
      </w:r>
      <w:r w:rsidR="005E07F1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</w:t>
      </w:r>
      <w:proofErr w:type="spellStart"/>
      <w:r w:rsidR="006C5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Джурмутская</w:t>
      </w:r>
      <w:proofErr w:type="spellEnd"/>
      <w:r w:rsidR="006C5256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C5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07F1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СОШ </w:t>
      </w:r>
      <w:proofErr w:type="spellStart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Тляатинского</w:t>
      </w:r>
      <w:proofErr w:type="spellEnd"/>
      <w:r w:rsidR="005E07F1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т.ч в условиях досрочного завершения учебного года по отдельным предметам.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1.2.Настоящее Положение разработано в соответствии с Законом РФ «Об образовании в РФ» №273-Ф3 от 26.12.2012, Уставом Учреждения, 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</w:t>
      </w:r>
      <w:proofErr w:type="spellStart"/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</w:t>
      </w:r>
      <w:proofErr w:type="spellEnd"/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РД.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утверждается руководителем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Индивидуальные достижения обучающихся подлежат текущему контролю успе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Текущий контроль успеваемости и промежуточную аттестацию обучающихся осу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емости и промежуточной аттестации являются участники образовательных отношений: педагоги, обучающиеся и их родители (законные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представители), Управляющий совет, экспертные комиссии при проведении процедур лицензирования и аккредитации, учредитель.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объёма содержания учебного п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редмета за учебный год с учетом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образовательных возможностей обучающихся в период самоизоляции в условиях дистанционного обучения;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и допуска учащихся 9-го класса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итоговой аттестации. Решения по данным вопросам принимаются педагогическим советом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обучающимся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proofErr w:type="gram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 возможности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выставления отметки.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 четвертях.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аттестация обучающихся 4, 9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отметочной системе. По предметам творческого характера (ИЗО, музыка, технология, ОБЖ,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ОРКСиЭ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проекта. Промежуточная аттестация обучающихся по физической культуре проводится по итогам сдачи нормативов в 1-3 четвертях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быть переведены в следующий класс условно, с последующей сдачей академических задолженностей;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</w:t>
      </w:r>
      <w:r w:rsidR="00D34F42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допускается проведение контрольного мероприятия в течение 2-х уроков по предметам математика и русский язык.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включают контрольно-оценочный материал, кодификатор, спецификацию,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критериальную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оценивания.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201666" w:rsidRPr="00E06010" w:rsidRDefault="00201666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66638" w:rsidRPr="00E06010" w:rsidRDefault="00566638" w:rsidP="00C65B04">
      <w:pPr>
        <w:shd w:val="clear" w:color="auto" w:fill="FFFFFF"/>
        <w:spacing w:after="0" w:line="240" w:lineRule="auto"/>
        <w:ind w:left="-142" w:right="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D34F42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выставлении годовой отметки следует учитывать отметки за четверти (</w:t>
      </w:r>
      <w:r w:rsidR="00D34F42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2 - 9 классы), полугодия (10 класс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Отметки по учебным предметам (с учетом результатов промежуточной аттестации) за текущий учебный год должны быть выставлены за 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D34F42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окончания учебного года.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роспись родителей (законных)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обучающихся с указанием даты ознакомления. Письменное сообщение хранится в личном деле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перевода обучающихся в следующий класс.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</w:t>
      </w:r>
      <w:r w:rsidR="0037513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кадемическую задолженность хотя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по одному предмету, переводятся в следующий класс условно.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Педагог, осуществляющий текущий контроль успеваемости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давление на обучающихся, проявлять к ним недоброжелательное, некорректное отношение.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предоставить ребенку возможность обучения в условиях самоизоляции и дистанционной работы, соблюдать требования всех нормативных документов,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определяющих порядок проведения текущего контроля успеваемости и промежуточной аттестации обучающегося;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Обязанности администрации </w:t>
      </w:r>
      <w:r w:rsidR="00C4390A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</w:t>
      </w:r>
      <w:proofErr w:type="spellStart"/>
      <w:r w:rsidR="006C5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Джурмутская</w:t>
      </w:r>
      <w:proofErr w:type="spellEnd"/>
      <w:r w:rsidR="00FB4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390A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="00FB4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Тляатинского</w:t>
      </w:r>
      <w:proofErr w:type="spellEnd"/>
      <w:r w:rsidR="00C4390A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</w:t>
      </w: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подготовки, проведения и после завершения промежуточной аттестации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экспертизу фонда оценивающих средств;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промежуточной аттестации администрация школы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организует хранение фонда оценочных материалов и результатов промежуточной аттестации в электронном 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Pr="00E0601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B7C28" w:rsidRPr="00E06010" w:rsidRDefault="00705503" w:rsidP="00C65B04">
      <w:pPr>
        <w:ind w:left="-142"/>
      </w:pPr>
    </w:p>
    <w:p w:rsidR="00E72D49" w:rsidRPr="00E06010" w:rsidRDefault="00E72D49" w:rsidP="00C65B04">
      <w:pPr>
        <w:ind w:left="-142"/>
      </w:pPr>
    </w:p>
    <w:p w:rsidR="00E72D49" w:rsidRPr="00E06010" w:rsidRDefault="00E72D49" w:rsidP="00C65B04">
      <w:pPr>
        <w:ind w:left="-142"/>
      </w:pPr>
    </w:p>
    <w:p w:rsidR="00E72D49" w:rsidRPr="00E06010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375131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75131" w:rsidRDefault="00375131">
      <w:pPr>
        <w:rPr>
          <w:rFonts w:ascii="Times New Roman" w:hAnsi="Times New Roman" w:cs="Times New Roman"/>
          <w:sz w:val="24"/>
          <w:szCs w:val="24"/>
        </w:rPr>
      </w:pPr>
    </w:p>
    <w:p w:rsidR="00375131" w:rsidRDefault="00375131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FB412D" w:rsidRDefault="00FB412D">
      <w:pPr>
        <w:rPr>
          <w:rFonts w:ascii="Times New Roman" w:hAnsi="Times New Roman" w:cs="Times New Roman"/>
          <w:sz w:val="24"/>
          <w:szCs w:val="24"/>
        </w:rPr>
      </w:pPr>
    </w:p>
    <w:p w:rsidR="00FB412D" w:rsidRDefault="00FB412D">
      <w:pPr>
        <w:rPr>
          <w:rFonts w:ascii="Times New Roman" w:hAnsi="Times New Roman" w:cs="Times New Roman"/>
          <w:sz w:val="24"/>
          <w:szCs w:val="24"/>
        </w:rPr>
      </w:pPr>
    </w:p>
    <w:p w:rsidR="00FB412D" w:rsidRDefault="00FB41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1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промежуточной аттестации в IV четверти для 1-4 классов,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реализующих федеральный государственный общеобразовательный стандарт начального общего образования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в 2019-2020 учебном году</w:t>
      </w: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2410"/>
        <w:gridCol w:w="1134"/>
        <w:gridCol w:w="1134"/>
        <w:gridCol w:w="1134"/>
        <w:gridCol w:w="1276"/>
      </w:tblGrid>
      <w:tr w:rsidR="00E72D49" w:rsidRPr="004E14F9" w:rsidTr="00375131">
        <w:trPr>
          <w:trHeight w:val="282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3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10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687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4E14F9" w:rsidRDefault="00E72D49" w:rsidP="00C0567B">
            <w:pPr>
              <w:pStyle w:val="TableParagraph"/>
              <w:spacing w:before="0"/>
              <w:ind w:left="819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Количество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часов</w:t>
            </w:r>
            <w:proofErr w:type="spellEnd"/>
            <w:r w:rsidRPr="004E14F9">
              <w:rPr>
                <w:sz w:val="24"/>
                <w:szCs w:val="24"/>
              </w:rPr>
              <w:t xml:space="preserve"> в </w:t>
            </w:r>
            <w:proofErr w:type="spellStart"/>
            <w:r w:rsidRPr="004E14F9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E72D49" w:rsidRPr="004E14F9" w:rsidTr="00375131">
        <w:trPr>
          <w:trHeight w:val="897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6" w:right="103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</w:t>
            </w:r>
          </w:p>
          <w:p w:rsidR="00E72D49" w:rsidRPr="004E14F9" w:rsidRDefault="00E72D49" w:rsidP="004E14F9">
            <w:pPr>
              <w:pStyle w:val="TableParagraph"/>
              <w:spacing w:before="0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72" w:right="17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IV</w:t>
            </w:r>
          </w:p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50"/>
        </w:trPr>
        <w:tc>
          <w:tcPr>
            <w:tcW w:w="10632" w:type="dxa"/>
            <w:gridSpan w:val="6"/>
          </w:tcPr>
          <w:p w:rsidR="00E72D49" w:rsidRPr="004E14F9" w:rsidRDefault="00E72D49" w:rsidP="00C0567B">
            <w:pPr>
              <w:pStyle w:val="TableParagraph"/>
              <w:spacing w:before="0"/>
              <w:ind w:left="4072" w:right="4049"/>
              <w:jc w:val="center"/>
              <w:rPr>
                <w:i/>
                <w:sz w:val="24"/>
                <w:szCs w:val="24"/>
              </w:rPr>
            </w:pP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</w:tr>
      <w:tr w:rsidR="00E72D49" w:rsidRPr="004E14F9" w:rsidTr="00375131">
        <w:trPr>
          <w:trHeight w:val="791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Русский язык и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868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 w:right="97" w:firstLine="52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256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1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зачет</w:t>
            </w:r>
            <w:proofErr w:type="spellEnd"/>
            <w:r w:rsidRPr="004E14F9">
              <w:rPr>
                <w:sz w:val="24"/>
                <w:szCs w:val="24"/>
              </w:rPr>
              <w:t>/</w:t>
            </w:r>
            <w:proofErr w:type="spellStart"/>
            <w:r w:rsidRPr="004E14F9">
              <w:rPr>
                <w:sz w:val="24"/>
                <w:szCs w:val="24"/>
              </w:rPr>
              <w:t>незачет</w:t>
            </w:r>
            <w:proofErr w:type="spellEnd"/>
          </w:p>
        </w:tc>
      </w:tr>
      <w:tr w:rsidR="00E72D49" w:rsidRPr="004E14F9" w:rsidTr="00375131">
        <w:trPr>
          <w:trHeight w:val="79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163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2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7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Окружающий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32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E72D49" w:rsidRPr="00375131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TableParagraph"/>
              <w:spacing w:before="0"/>
              <w:ind w:left="555" w:right="53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_</w:t>
            </w:r>
          </w:p>
        </w:tc>
      </w:tr>
      <w:tr w:rsidR="00E72D49" w:rsidRPr="004E14F9" w:rsidTr="00375131">
        <w:trPr>
          <w:trHeight w:val="450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664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44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0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-</w:t>
            </w:r>
          </w:p>
        </w:tc>
      </w:tr>
      <w:tr w:rsidR="00E72D49" w:rsidRPr="004E14F9" w:rsidTr="00375131">
        <w:trPr>
          <w:trHeight w:val="450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1358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423"/>
              <w:rPr>
                <w:i/>
                <w:sz w:val="24"/>
                <w:szCs w:val="24"/>
                <w:lang w:val="ru-RU"/>
              </w:rPr>
            </w:pPr>
            <w:r w:rsidRPr="004E14F9">
              <w:rPr>
                <w:i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2410" w:type="dxa"/>
          </w:tcPr>
          <w:p w:rsidR="00E72D49" w:rsidRPr="00375131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E72D49" w:rsidRPr="004E14F9" w:rsidRDefault="00E72D49" w:rsidP="00E72D49">
      <w:pPr>
        <w:jc w:val="center"/>
        <w:rPr>
          <w:rFonts w:ascii="Times New Roman" w:hAnsi="Times New Roman" w:cs="Times New Roman"/>
          <w:sz w:val="24"/>
          <w:szCs w:val="24"/>
        </w:rPr>
        <w:sectPr w:rsidR="00E72D49" w:rsidRPr="004E14F9" w:rsidSect="00960D19">
          <w:pgSz w:w="11910" w:h="16840"/>
          <w:pgMar w:top="1134" w:right="995" w:bottom="1134" w:left="1560" w:header="720" w:footer="720" w:gutter="0"/>
          <w:cols w:space="720"/>
        </w:sectPr>
      </w:pPr>
    </w:p>
    <w:p w:rsidR="00E72D49" w:rsidRPr="004E14F9" w:rsidRDefault="00AA5C46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E72D49" w:rsidRPr="004E14F9">
        <w:rPr>
          <w:sz w:val="24"/>
          <w:szCs w:val="24"/>
        </w:rPr>
        <w:t>Приложение № 2</w:t>
      </w:r>
    </w:p>
    <w:p w:rsidR="00E72D49" w:rsidRPr="004E14F9" w:rsidRDefault="0060350B" w:rsidP="00E72D49">
      <w:pPr>
        <w:pStyle w:val="a5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line id="Прямая соединительная линия 3" o:spid="_x0000_s1026" style="position:absolute;left:0;text-align:left;z-index:-251658752;visibility:visible;mso-wrap-distance-left:3.17497mm;mso-wrap-distance-right:3.17497mm;mso-position-horizontal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" strokeweight=".48pt">
            <w10:wrap anchorx="page"/>
          </v:line>
        </w:pict>
      </w:r>
      <w:r w:rsidR="00E72D49" w:rsidRPr="004E14F9">
        <w:rPr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промежуточной аттестации в IV четверти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для обучающихся 5-9</w:t>
      </w:r>
      <w:r w:rsidR="00960D19">
        <w:rPr>
          <w:sz w:val="24"/>
          <w:szCs w:val="24"/>
        </w:rPr>
        <w:t>,10</w:t>
      </w:r>
      <w:r w:rsidRPr="004E14F9">
        <w:rPr>
          <w:sz w:val="24"/>
          <w:szCs w:val="24"/>
        </w:rPr>
        <w:t xml:space="preserve"> классов реализующих федеральный государственный стандарт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основного общего образования</w:t>
      </w:r>
    </w:p>
    <w:p w:rsidR="003D18C1" w:rsidRPr="004E14F9" w:rsidRDefault="003D18C1" w:rsidP="00E72D49">
      <w:pPr>
        <w:pStyle w:val="a5"/>
        <w:jc w:val="center"/>
        <w:rPr>
          <w:sz w:val="24"/>
          <w:szCs w:val="24"/>
        </w:rPr>
      </w:pPr>
    </w:p>
    <w:p w:rsidR="003D18C1" w:rsidRPr="004E14F9" w:rsidRDefault="003D18C1" w:rsidP="00AA5C46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 w:rsidP="00E72D49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3631"/>
        <w:gridCol w:w="708"/>
        <w:gridCol w:w="851"/>
        <w:gridCol w:w="992"/>
        <w:gridCol w:w="1154"/>
        <w:gridCol w:w="953"/>
      </w:tblGrid>
      <w:tr w:rsidR="00E72D49" w:rsidRPr="004E14F9" w:rsidTr="00375131">
        <w:trPr>
          <w:trHeight w:val="705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82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631" w:type="dxa"/>
            <w:vMerge w:val="restart"/>
            <w:tcBorders>
              <w:tl2br w:val="single" w:sz="4" w:space="0" w:color="auto"/>
            </w:tcBorders>
          </w:tcPr>
          <w:p w:rsidR="00E72D49" w:rsidRPr="004E14F9" w:rsidRDefault="004E14F9" w:rsidP="00C0567B">
            <w:pPr>
              <w:pStyle w:val="TableParagraph"/>
              <w:spacing w:before="0"/>
              <w:ind w:left="110" w:right="24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Классы </w:t>
            </w:r>
          </w:p>
          <w:p w:rsidR="00E72D49" w:rsidRPr="004E14F9" w:rsidRDefault="00E72D49" w:rsidP="004E14F9">
            <w:pPr>
              <w:pStyle w:val="TableParagraph"/>
              <w:spacing w:before="0"/>
              <w:ind w:right="2485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Фиксация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результатов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промежуточной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аттестации</w:t>
            </w:r>
            <w:proofErr w:type="spellEnd"/>
          </w:p>
        </w:tc>
      </w:tr>
      <w:tr w:rsidR="00E72D49" w:rsidRPr="004E14F9" w:rsidTr="00375131">
        <w:trPr>
          <w:trHeight w:val="56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2D49" w:rsidRPr="004E14F9" w:rsidRDefault="00AA5C46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5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2D49" w:rsidRPr="004E14F9" w:rsidRDefault="00AA5C46" w:rsidP="00AA5C46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A5C46" w:rsidRPr="004E14F9" w:rsidRDefault="00E72D49" w:rsidP="00AA5C46">
            <w:pPr>
              <w:pStyle w:val="TableParagraph"/>
              <w:spacing w:before="0"/>
              <w:ind w:left="201" w:right="189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7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206" w:right="189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AA5C46" w:rsidRPr="004E14F9" w:rsidRDefault="00AA5C46" w:rsidP="00AA5C46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8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AA5C46" w:rsidRPr="00960D19" w:rsidRDefault="00AA5C46" w:rsidP="00AA5C46">
            <w:pPr>
              <w:pStyle w:val="TableParagraph"/>
              <w:spacing w:before="0"/>
              <w:jc w:val="center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</w:rPr>
              <w:t>9</w:t>
            </w:r>
            <w:r w:rsidR="00960D19">
              <w:rPr>
                <w:sz w:val="24"/>
                <w:szCs w:val="24"/>
                <w:lang w:val="ru-RU"/>
              </w:rPr>
              <w:t>,10</w:t>
            </w:r>
          </w:p>
          <w:p w:rsidR="00E72D49" w:rsidRPr="004E14F9" w:rsidRDefault="00E72D49" w:rsidP="00C0567B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31"/>
        </w:trPr>
        <w:tc>
          <w:tcPr>
            <w:tcW w:w="6096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i/>
                <w:sz w:val="24"/>
                <w:szCs w:val="24"/>
              </w:rPr>
            </w:pPr>
            <w:r w:rsidRPr="004E14F9">
              <w:rPr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r w:rsidRPr="004E14F9">
              <w:rPr>
                <w:spacing w:val="-18"/>
                <w:sz w:val="24"/>
                <w:szCs w:val="24"/>
              </w:rPr>
              <w:t xml:space="preserve">и </w:t>
            </w: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4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- 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  <w:r w:rsidRPr="004E14F9">
              <w:rPr>
                <w:sz w:val="24"/>
                <w:szCs w:val="24"/>
              </w:rPr>
              <w:t xml:space="preserve">. </w:t>
            </w:r>
            <w:proofErr w:type="spellStart"/>
            <w:r w:rsidRPr="004E14F9">
              <w:rPr>
                <w:sz w:val="24"/>
                <w:szCs w:val="24"/>
              </w:rPr>
              <w:t>Всеобщая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658" w:type="dxa"/>
            <w:gridSpan w:val="5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807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658" w:type="dxa"/>
            <w:gridSpan w:val="5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375131">
        <w:trPr>
          <w:trHeight w:val="450"/>
        </w:trPr>
        <w:tc>
          <w:tcPr>
            <w:tcW w:w="2465" w:type="dxa"/>
            <w:vMerge w:val="restart"/>
          </w:tcPr>
          <w:p w:rsidR="00AA5C46" w:rsidRPr="004E14F9" w:rsidRDefault="00AA5C46" w:rsidP="00C0567B">
            <w:pPr>
              <w:pStyle w:val="TableParagraph"/>
              <w:spacing w:before="0"/>
              <w:ind w:left="110" w:right="878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658" w:type="dxa"/>
            <w:gridSpan w:val="5"/>
          </w:tcPr>
          <w:p w:rsidR="00AA5C46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spellStart"/>
            <w:r w:rsidR="00AA5C46" w:rsidRPr="004E14F9">
              <w:rPr>
                <w:sz w:val="24"/>
                <w:szCs w:val="24"/>
              </w:rPr>
              <w:t>по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пятибалльной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07" w:right="98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154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Естественно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 -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2107" w:type="dxa"/>
            <w:gridSpan w:val="2"/>
          </w:tcPr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</w:t>
            </w:r>
            <w:proofErr w:type="spellEnd"/>
            <w:r w:rsidR="004E14F9">
              <w:rPr>
                <w:sz w:val="24"/>
                <w:szCs w:val="24"/>
                <w:lang w:val="ru-RU"/>
              </w:rPr>
              <w:t>.</w:t>
            </w:r>
            <w:r w:rsidRPr="004E14F9">
              <w:rPr>
                <w:sz w:val="24"/>
                <w:szCs w:val="24"/>
              </w:rPr>
              <w:t xml:space="preserve"> с</w:t>
            </w:r>
          </w:p>
        </w:tc>
      </w:tr>
      <w:tr w:rsidR="00E72D49" w:rsidRPr="004E14F9" w:rsidTr="00375131">
        <w:trPr>
          <w:trHeight w:val="3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51" w:type="dxa"/>
            <w:gridSpan w:val="3"/>
          </w:tcPr>
          <w:p w:rsidR="00AA5C46" w:rsidRPr="004E14F9" w:rsidRDefault="00AA5C46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AA5C46" w:rsidRPr="004E14F9" w:rsidRDefault="00AA5C46" w:rsidP="00AA5C46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4E14F9" w:rsidRPr="004E14F9" w:rsidRDefault="004E14F9" w:rsidP="004E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551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375131">
        <w:trPr>
          <w:trHeight w:val="431"/>
        </w:trPr>
        <w:tc>
          <w:tcPr>
            <w:tcW w:w="2465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551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</w:tbl>
    <w:p w:rsidR="00E72D49" w:rsidRPr="00AF02C3" w:rsidRDefault="00E72D49" w:rsidP="00E72D49">
      <w:pPr>
        <w:jc w:val="center"/>
        <w:sectPr w:rsidR="00E72D49" w:rsidRPr="00AF02C3" w:rsidSect="004E14F9">
          <w:pgSz w:w="11910" w:h="16840"/>
          <w:pgMar w:top="920" w:right="482" w:bottom="993" w:left="340" w:header="720" w:footer="720" w:gutter="0"/>
          <w:cols w:space="720"/>
        </w:sectPr>
      </w:pPr>
    </w:p>
    <w:p w:rsidR="00E72D49" w:rsidRPr="00AF02C3" w:rsidRDefault="00E72D49" w:rsidP="00E72D49">
      <w:pPr>
        <w:ind w:left="1076"/>
        <w:rPr>
          <w:rFonts w:ascii="Calibri"/>
          <w:sz w:val="12"/>
        </w:rPr>
      </w:pPr>
      <w:r w:rsidRPr="00AF02C3">
        <w:rPr>
          <w:rFonts w:ascii="Calibri"/>
          <w:sz w:val="12"/>
        </w:rPr>
        <w:lastRenderedPageBreak/>
        <w:t>*</w:t>
      </w:r>
    </w:p>
    <w:tbl>
      <w:tblPr>
        <w:tblStyle w:val="TableNormal"/>
        <w:tblpPr w:leftFromText="180" w:rightFromText="180" w:vertAnchor="page" w:horzAnchor="margin" w:tblpXSpec="center" w:tblpY="73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686"/>
        <w:gridCol w:w="992"/>
        <w:gridCol w:w="851"/>
        <w:gridCol w:w="987"/>
        <w:gridCol w:w="855"/>
        <w:gridCol w:w="841"/>
        <w:gridCol w:w="10"/>
      </w:tblGrid>
      <w:tr w:rsidR="00201666" w:rsidRPr="00AF02C3" w:rsidTr="00C0567B">
        <w:trPr>
          <w:gridAfter w:val="1"/>
          <w:wAfter w:w="10" w:type="dxa"/>
          <w:trHeight w:val="432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 w:right="17"/>
              <w:rPr>
                <w:lang w:val="ru-RU"/>
              </w:rPr>
            </w:pPr>
            <w:r w:rsidRPr="00E72D49">
              <w:rPr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Физическая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культура</w:t>
            </w:r>
            <w:proofErr w:type="spellEnd"/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</w:p>
        </w:tc>
      </w:tr>
      <w:tr w:rsidR="00201666" w:rsidRPr="00AF02C3" w:rsidTr="00375131">
        <w:trPr>
          <w:gridAfter w:val="1"/>
          <w:wAfter w:w="10" w:type="dxa"/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 w:right="1354"/>
            </w:pPr>
            <w:proofErr w:type="spellStart"/>
            <w:r w:rsidRPr="00AF02C3">
              <w:t>Основы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безопасности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жизнедеятельности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96" w:type="dxa"/>
            <w:gridSpan w:val="2"/>
          </w:tcPr>
          <w:p w:rsidR="00201666" w:rsidRPr="00375131" w:rsidRDefault="00201666" w:rsidP="00C0567B">
            <w:pPr>
              <w:pStyle w:val="TableParagraph"/>
              <w:spacing w:before="0"/>
              <w:rPr>
                <w:lang w:val="ru-RU"/>
              </w:rPr>
            </w:pPr>
            <w:r>
              <w:t xml:space="preserve">    </w:t>
            </w:r>
            <w:r w:rsidR="00375131">
              <w:rPr>
                <w:lang w:val="ru-RU"/>
              </w:rPr>
              <w:t>-</w:t>
            </w:r>
          </w:p>
        </w:tc>
      </w:tr>
      <w:tr w:rsidR="00201666" w:rsidRPr="00AF02C3" w:rsidTr="00C0567B">
        <w:trPr>
          <w:gridAfter w:val="1"/>
          <w:wAfter w:w="10" w:type="dxa"/>
          <w:trHeight w:val="436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  <w:r w:rsidRPr="00E72D49">
              <w:rPr>
                <w:lang w:val="ru-RU"/>
              </w:rPr>
              <w:t>Часть, формируемая</w:t>
            </w:r>
          </w:p>
          <w:p w:rsidR="00201666" w:rsidRPr="00E72D49" w:rsidRDefault="00201666" w:rsidP="00C0567B">
            <w:pPr>
              <w:pStyle w:val="TableParagraph"/>
              <w:spacing w:before="0"/>
              <w:ind w:left="110" w:right="586"/>
              <w:rPr>
                <w:lang w:val="ru-RU"/>
              </w:rPr>
            </w:pPr>
            <w:r w:rsidRPr="00E72D49">
              <w:rPr>
                <w:lang w:val="ru-RU"/>
              </w:rPr>
              <w:t>участниками образовательных отношений</w:t>
            </w:r>
          </w:p>
        </w:tc>
        <w:tc>
          <w:tcPr>
            <w:tcW w:w="3686" w:type="dxa"/>
          </w:tcPr>
          <w:p w:rsidR="00201666" w:rsidRPr="00375131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  <w:proofErr w:type="spellStart"/>
            <w:r>
              <w:t>з</w:t>
            </w:r>
            <w:r w:rsidRPr="00AF02C3">
              <w:t>ачет</w:t>
            </w:r>
            <w:proofErr w:type="spellEnd"/>
            <w:r w:rsidRPr="00AF02C3">
              <w:t>/</w:t>
            </w:r>
            <w:proofErr w:type="spellStart"/>
            <w:r w:rsidRPr="00AF02C3">
              <w:t>незачет</w:t>
            </w:r>
            <w:proofErr w:type="spellEnd"/>
          </w:p>
        </w:tc>
      </w:tr>
      <w:tr w:rsidR="00201666" w:rsidRPr="000B2D7D" w:rsidTr="00375131">
        <w:trPr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Проектная</w:t>
            </w:r>
            <w:proofErr w:type="spellEnd"/>
            <w:r w:rsidRPr="00AF02C3">
              <w:t xml:space="preserve"> и </w:t>
            </w:r>
            <w:proofErr w:type="spellStart"/>
            <w:r w:rsidRPr="00AF02C3">
              <w:t>исследовательская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деятельность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1666" w:rsidRPr="00AF02C3" w:rsidTr="00375131">
        <w:trPr>
          <w:trHeight w:val="436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, </w:t>
            </w:r>
            <w:proofErr w:type="spellStart"/>
            <w:r>
              <w:t>профильная</w:t>
            </w:r>
            <w:proofErr w:type="spellEnd"/>
            <w:r>
              <w:t xml:space="preserve"> </w:t>
            </w:r>
            <w:proofErr w:type="spellStart"/>
            <w:r>
              <w:t>ориентация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1666" w:rsidRPr="00AF02C3" w:rsidTr="00375131">
        <w:trPr>
          <w:trHeight w:val="864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Практикум</w:t>
            </w:r>
            <w:proofErr w:type="spellEnd"/>
            <w:r>
              <w:t xml:space="preserve"> ОГЭ </w:t>
            </w:r>
            <w:proofErr w:type="spellStart"/>
            <w:r>
              <w:t>по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математик</w:t>
            </w:r>
            <w:r>
              <w:t>е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E72D49" w:rsidRDefault="00E72D49"/>
    <w:sectPr w:rsidR="00E72D49" w:rsidSect="00A5517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8A6"/>
    <w:rsid w:val="00201666"/>
    <w:rsid w:val="00375131"/>
    <w:rsid w:val="003D18C1"/>
    <w:rsid w:val="004E14F9"/>
    <w:rsid w:val="00566638"/>
    <w:rsid w:val="005D6AD9"/>
    <w:rsid w:val="005E07F1"/>
    <w:rsid w:val="0060350B"/>
    <w:rsid w:val="006C5256"/>
    <w:rsid w:val="00705503"/>
    <w:rsid w:val="008B79CC"/>
    <w:rsid w:val="00926E7B"/>
    <w:rsid w:val="00960D19"/>
    <w:rsid w:val="00A37DBA"/>
    <w:rsid w:val="00A55171"/>
    <w:rsid w:val="00AA1500"/>
    <w:rsid w:val="00AA5C46"/>
    <w:rsid w:val="00C4390A"/>
    <w:rsid w:val="00C65B04"/>
    <w:rsid w:val="00D34F42"/>
    <w:rsid w:val="00D458A6"/>
    <w:rsid w:val="00E06010"/>
    <w:rsid w:val="00E356DC"/>
    <w:rsid w:val="00E72D49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D49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72D4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72D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E72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0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D49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72D4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72D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E72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0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450F-0126-4FE1-8868-6AB13C01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123456</cp:lastModifiedBy>
  <cp:revision>15</cp:revision>
  <dcterms:created xsi:type="dcterms:W3CDTF">2020-06-07T08:38:00Z</dcterms:created>
  <dcterms:modified xsi:type="dcterms:W3CDTF">2020-06-15T05:15:00Z</dcterms:modified>
</cp:coreProperties>
</file>